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97E3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97E30" w:rsidRDefault="009538B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E3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E30" w:rsidRDefault="009538BD">
            <w:pPr>
              <w:pStyle w:val="ConsPlusTitlePage0"/>
              <w:jc w:val="center"/>
            </w:pPr>
            <w:r>
              <w:rPr>
                <w:sz w:val="48"/>
              </w:rPr>
              <w:t>Приказ СФР от 29.12.2024 N 2713</w:t>
            </w:r>
            <w:r>
              <w:rPr>
                <w:sz w:val="48"/>
              </w:rPr>
              <w:br/>
              <w:t>(ред. от 13.03.2025)</w:t>
            </w:r>
            <w:r>
              <w:rPr>
                <w:sz w:val="48"/>
              </w:rPr>
              <w:br/>
              <w:t>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w:t>
            </w:r>
          </w:p>
        </w:tc>
      </w:tr>
      <w:tr w:rsidR="00597E3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E30" w:rsidRDefault="009538B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597E30" w:rsidRDefault="00597E30">
      <w:pPr>
        <w:pStyle w:val="ConsPlusNormal0"/>
        <w:sectPr w:rsidR="00597E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97E30" w:rsidRDefault="00597E30">
      <w:pPr>
        <w:pStyle w:val="ConsPlusNormal0"/>
        <w:jc w:val="both"/>
        <w:outlineLvl w:val="0"/>
      </w:pPr>
    </w:p>
    <w:p w:rsidR="00597E30" w:rsidRDefault="009538BD">
      <w:pPr>
        <w:pStyle w:val="ConsPlusTitle0"/>
        <w:jc w:val="center"/>
        <w:outlineLvl w:val="0"/>
      </w:pPr>
      <w:r>
        <w:t>ФОНД ПЕНСИОННОГО И СОЦИАЛЬНОГО СТРАХОВАНИЯ</w:t>
      </w:r>
    </w:p>
    <w:p w:rsidR="00597E30" w:rsidRDefault="009538BD">
      <w:pPr>
        <w:pStyle w:val="ConsPlusTitle0"/>
        <w:jc w:val="center"/>
      </w:pPr>
      <w:r>
        <w:t>РОССИЙСКОЙ ФЕДЕРАЦИИ</w:t>
      </w:r>
    </w:p>
    <w:p w:rsidR="00597E30" w:rsidRDefault="00597E30">
      <w:pPr>
        <w:pStyle w:val="ConsPlusTitle0"/>
        <w:jc w:val="center"/>
      </w:pPr>
    </w:p>
    <w:p w:rsidR="00597E30" w:rsidRDefault="009538BD">
      <w:pPr>
        <w:pStyle w:val="ConsPlusTitle0"/>
        <w:jc w:val="center"/>
      </w:pPr>
      <w:r>
        <w:t>ПРИКАЗ</w:t>
      </w:r>
    </w:p>
    <w:p w:rsidR="00597E30" w:rsidRDefault="009538BD">
      <w:pPr>
        <w:pStyle w:val="ConsPlusTitle0"/>
        <w:jc w:val="center"/>
      </w:pPr>
      <w:r>
        <w:t>от 29 декабря 2024 г. N 2713</w:t>
      </w:r>
    </w:p>
    <w:p w:rsidR="00597E30" w:rsidRDefault="00597E30">
      <w:pPr>
        <w:pStyle w:val="ConsPlusTitle0"/>
        <w:jc w:val="center"/>
      </w:pPr>
    </w:p>
    <w:p w:rsidR="00597E30" w:rsidRDefault="009538BD">
      <w:pPr>
        <w:pStyle w:val="ConsPlusTitle0"/>
        <w:jc w:val="center"/>
      </w:pPr>
      <w:r>
        <w:t>ОБ УТВЕРЖДЕНИИ РЕШЕНИЯ</w:t>
      </w:r>
    </w:p>
    <w:p w:rsidR="00597E30" w:rsidRDefault="009538BD">
      <w:pPr>
        <w:pStyle w:val="ConsPlusTitle0"/>
        <w:jc w:val="center"/>
      </w:pPr>
      <w:r>
        <w:t>О ПОРЯДКЕ ПРЕДОСТАВЛЕНИЯ СУБСИДИИ НА ГОСУДАРСТВЕННУЮ</w:t>
      </w:r>
    </w:p>
    <w:p w:rsidR="00597E30" w:rsidRDefault="009538BD">
      <w:pPr>
        <w:pStyle w:val="ConsPlusTitle0"/>
        <w:jc w:val="center"/>
      </w:pPr>
      <w:r>
        <w:t>ПОДДЕРЖКУ ТРУДОУСТРОЙСТВА РАБОТНИКОВ ИЗ ДРУГОЙ МЕСТНОСТИ</w:t>
      </w:r>
    </w:p>
    <w:p w:rsidR="00597E30" w:rsidRDefault="009538BD">
      <w:pPr>
        <w:pStyle w:val="ConsPlusTitle0"/>
        <w:jc w:val="center"/>
      </w:pPr>
      <w:r>
        <w:t>ИЛИ ДРУГИХ ТЕРРИТОРИЙ</w:t>
      </w:r>
    </w:p>
    <w:p w:rsidR="00597E30" w:rsidRDefault="00597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97E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пунктом 3(2)</w:t>
        </w:r>
      </w:hyperlink>
      <w: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5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</w:pPr>
      <w:r>
        <w:t>Председатель</w:t>
      </w:r>
    </w:p>
    <w:p w:rsidR="00597E30" w:rsidRDefault="009538BD">
      <w:pPr>
        <w:pStyle w:val="ConsPlusNormal0"/>
        <w:jc w:val="right"/>
      </w:pPr>
      <w:r>
        <w:t>С.ЧИРКОВ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  <w:outlineLvl w:val="0"/>
      </w:pPr>
      <w:r>
        <w:t>Приложение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</w:pPr>
      <w:r>
        <w:t>Утверждено</w:t>
      </w:r>
    </w:p>
    <w:p w:rsidR="00597E30" w:rsidRDefault="009538BD">
      <w:pPr>
        <w:pStyle w:val="ConsPlusNormal0"/>
        <w:jc w:val="right"/>
      </w:pPr>
      <w:r>
        <w:t>приказом Фонда пенсионного</w:t>
      </w:r>
    </w:p>
    <w:p w:rsidR="00597E30" w:rsidRDefault="009538BD">
      <w:pPr>
        <w:pStyle w:val="ConsPlusNormal0"/>
        <w:jc w:val="right"/>
      </w:pPr>
      <w:r>
        <w:t>и социального страхования</w:t>
      </w:r>
    </w:p>
    <w:p w:rsidR="00597E30" w:rsidRDefault="009538BD">
      <w:pPr>
        <w:pStyle w:val="ConsPlusNormal0"/>
        <w:jc w:val="right"/>
      </w:pPr>
      <w:r>
        <w:t>Российской Федерации</w:t>
      </w:r>
    </w:p>
    <w:p w:rsidR="00597E30" w:rsidRDefault="009538BD">
      <w:pPr>
        <w:pStyle w:val="ConsPlusNormal0"/>
        <w:jc w:val="right"/>
      </w:pPr>
      <w:r>
        <w:t>от 29 декабря 2024 г. N 2713</w:t>
      </w:r>
    </w:p>
    <w:p w:rsidR="00597E30" w:rsidRDefault="00597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97E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center"/>
      </w:pPr>
      <w:bookmarkStart w:id="0" w:name="P35"/>
      <w:bookmarkEnd w:id="0"/>
      <w:r>
        <w:t>Решение</w:t>
      </w:r>
    </w:p>
    <w:p w:rsidR="00597E30" w:rsidRDefault="009538BD">
      <w:pPr>
        <w:pStyle w:val="ConsPlusNormal0"/>
        <w:jc w:val="center"/>
      </w:pPr>
      <w:r>
        <w:t>о порядке предоставления субсидии на государственную</w:t>
      </w:r>
    </w:p>
    <w:p w:rsidR="00597E30" w:rsidRDefault="009538BD">
      <w:pPr>
        <w:pStyle w:val="ConsPlusNormal0"/>
        <w:jc w:val="center"/>
      </w:pPr>
      <w:r>
        <w:lastRenderedPageBreak/>
        <w:t>поддержку трудоустройства работников из другой местности</w:t>
      </w:r>
    </w:p>
    <w:p w:rsidR="00597E30" w:rsidRDefault="009538BD">
      <w:pPr>
        <w:pStyle w:val="ConsPlusNormal0"/>
        <w:jc w:val="center"/>
      </w:pPr>
      <w:r>
        <w:t>или других территорий</w:t>
      </w:r>
    </w:p>
    <w:p w:rsidR="00597E30" w:rsidRDefault="009538BD">
      <w:pPr>
        <w:pStyle w:val="ConsPlusNormal0"/>
        <w:jc w:val="center"/>
      </w:pPr>
      <w:r>
        <w:t>N _____ от "__" ________ 202_ г.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346"/>
        <w:gridCol w:w="1374"/>
        <w:gridCol w:w="1361"/>
      </w:tblGrid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t>КОДЫ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Главный распорядитель бюджетных средств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797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 xml:space="preserve">по </w:t>
            </w:r>
            <w:hyperlink r:id="rId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00000006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Бюджет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50590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Национальный </w:t>
            </w:r>
            <w:hyperlink r:id="rId13" w:tooltip="&quot;Паспорт национального проекта &quot;Кадры&quot; {КонсультантПлюс}">
              <w:r>
                <w:rPr>
                  <w:color w:val="0000FF"/>
                </w:rPr>
                <w:t>проект</w:t>
              </w:r>
            </w:hyperlink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"Кадры"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Л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Государственная </w:t>
            </w:r>
            <w:hyperlink r:id="rId14" w:tooltip="Постановление Правительства РФ от 15.04.2014 N 298 (ред. от 30.11.2024) &quot;Об утверждении государственной программы Российской Федерации &quot;Содействие занятости населения&quot; {КонсультантПлюс}">
              <w:r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Содействие занятости населения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07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Структурный элемент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Федеральный </w:t>
            </w:r>
            <w:hyperlink r:id="rId15" w:tooltip="&quot;Паспорт федерального проекта &quot;Активные меры содействия занятост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"Активные меры содействия занятости"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Л3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07 2 Л3 50590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both"/>
        <w:outlineLvl w:val="1"/>
      </w:pPr>
      <w:r>
        <w:t>1. Общая информация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2"/>
        <w:gridCol w:w="5986"/>
      </w:tblGrid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 в 2025 году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Тип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lastRenderedPageBreak/>
              <w:t>Способ предоставления средств из бюджета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Нет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Нет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Способ отбора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Запрос предложения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Используемые понятия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Понятия, используемые в настоящем Решении, означают следующее: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"Единые правила" - </w:t>
      </w:r>
      <w:hyperlink r:id="rId16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Правила</w:t>
        </w:r>
      </w:hyperlink>
      <w: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25 октября 2023 г. N 1780;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</w:t>
      </w:r>
      <w:r>
        <w:lastRenderedPageBreak/>
        <w:t>полномочия в сфере занятости населения,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Решением;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федеральной государственной информационной системы "Единая интегрированная информационная система "Соцстрах" Фонда по форматам, определяемым Фондом, в течение 3 рабочих дней со дня трудоустройства граждан;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</w:t>
      </w:r>
      <w:hyperlink r:id="rId17" w:tooltip="&quot;Паспорт федерального проекта &quot;Активные меры содействия занятости&quot; {КонсультантПлюс}">
        <w:r>
          <w:rPr>
            <w:color w:val="0000FF"/>
          </w:rPr>
          <w:t>проекта</w:t>
        </w:r>
      </w:hyperlink>
      <w:r>
        <w:t xml:space="preserve"> "Активные меры содействия занятости" национального </w:t>
      </w:r>
      <w:hyperlink r:id="rId18" w:tooltip="&quot;Паспорт национального проекта &quot;Кадры&quot; {КонсультантПлюс}">
        <w:r>
          <w:rPr>
            <w:color w:val="0000FF"/>
          </w:rPr>
          <w:t>проекта</w:t>
        </w:r>
      </w:hyperlink>
      <w:r>
        <w:t xml:space="preserve"> "Кадры";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"Фонд" - Фонд пенсионного и социального страхования Российской Федерации.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2. Информация о получателях субсидии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Категории получателей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5"/>
        <w:gridCol w:w="4819"/>
      </w:tblGrid>
      <w:tr w:rsidR="00597E30">
        <w:tc>
          <w:tcPr>
            <w:tcW w:w="4205" w:type="dxa"/>
          </w:tcPr>
          <w:p w:rsidR="00597E30" w:rsidRDefault="009538BD">
            <w:pPr>
              <w:pStyle w:val="ConsPlusNormal0"/>
              <w:jc w:val="center"/>
            </w:pPr>
            <w:r>
              <w:t>Категории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  <w:jc w:val="center"/>
            </w:pPr>
            <w:r>
              <w:t>Тип субъекта экономической деятельности</w:t>
            </w:r>
          </w:p>
        </w:tc>
      </w:tr>
      <w:tr w:rsidR="00597E30">
        <w:tc>
          <w:tcPr>
            <w:tcW w:w="4205" w:type="dxa"/>
          </w:tcPr>
          <w:p w:rsidR="00597E30" w:rsidRDefault="009538BD">
            <w:pPr>
              <w:pStyle w:val="ConsPlusNormal0"/>
            </w:pPr>
            <w:r>
              <w:t>Некоммерческие организации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</w:pPr>
            <w:r>
              <w:t>Юридическое лицо</w:t>
            </w:r>
          </w:p>
        </w:tc>
      </w:tr>
      <w:tr w:rsidR="00597E30">
        <w:tc>
          <w:tcPr>
            <w:tcW w:w="4205" w:type="dxa"/>
          </w:tcPr>
          <w:p w:rsidR="00597E30" w:rsidRDefault="009538BD">
            <w:pPr>
              <w:pStyle w:val="ConsPlusNormal0"/>
            </w:pPr>
            <w:r>
              <w:t>Коммерческие организации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</w:pPr>
            <w:r>
              <w:t>Юридическое лицо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Требования к получателям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0"/>
        <w:gridCol w:w="3118"/>
      </w:tblGrid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lastRenderedPageBreak/>
              <w:t>Наименование требования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single" w:sz="4" w:space="0" w:color="auto"/>
              <w:bottom w:val="nil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597E30" w:rsidRDefault="009538BD">
            <w:pPr>
              <w:pStyle w:val="ConsPlusNormal0"/>
              <w:jc w:val="both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97E30" w:rsidRDefault="009538BD">
            <w:pPr>
              <w:pStyle w:val="ConsPlusNormal0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97E30" w:rsidRDefault="009538BD">
            <w:pPr>
              <w:pStyle w:val="ConsPlusNormal0"/>
              <w:jc w:val="both"/>
            </w:pPr>
            <w: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г) получатель субсидии не является иностранным агентом в соответствии с Федеральным </w:t>
            </w:r>
            <w:hyperlink r:id="rId2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14 июля 2022 г. N 255-ФЗ "О контроле за деятельностью лиц, находящихся под иностранным влиянием";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597E30" w:rsidRDefault="009538BD">
            <w:pPr>
              <w:pStyle w:val="ConsPlusNormal0"/>
            </w:pPr>
            <w:r>
              <w:t>Перечень организаций, утвержденный высшими исполнительными органами субъектов Российской Федерации,</w:t>
            </w:r>
          </w:p>
          <w:p w:rsidR="00597E30" w:rsidRDefault="009538BD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</w:t>
            </w:r>
          </w:p>
          <w:p w:rsidR="00597E30" w:rsidRDefault="009538BD">
            <w:pPr>
              <w:pStyle w:val="ConsPlusNormal0"/>
            </w:pPr>
            <w:r>
              <w:t>Заявление</w:t>
            </w: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t xml:space="preserve">д) получатель субсидии не находится в составляемых в </w:t>
            </w:r>
            <w:r>
              <w:lastRenderedPageBreak/>
              <w:t>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597E30" w:rsidRDefault="009538BD">
            <w:pPr>
              <w:pStyle w:val="ConsPlusNormal0"/>
              <w:jc w:val="both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597E30" w:rsidRDefault="009538BD">
            <w:pPr>
              <w:pStyle w:val="ConsPlusNormal0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Соответствовать следующим критериям:</w:t>
            </w:r>
          </w:p>
          <w:p w:rsidR="00597E30" w:rsidRDefault="009538BD">
            <w:pPr>
              <w:pStyle w:val="ConsPlusNormal0"/>
              <w:jc w:val="both"/>
            </w:pPr>
            <w:r>
              <w:t>1) организации относятся к одной или нескольким из следующих категорий: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</w:t>
            </w:r>
            <w:hyperlink r:id="rId21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</w:t>
            </w:r>
            <w:r>
              <w:lastRenderedPageBreak/>
              <w:t>перед работниками по заработной плате;</w:t>
            </w:r>
          </w:p>
          <w:p w:rsidR="00597E30" w:rsidRDefault="009538BD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597E30" w:rsidRDefault="009538BD">
            <w:pPr>
              <w:pStyle w:val="ConsPlusNormal0"/>
              <w:jc w:val="both"/>
            </w:pPr>
            <w: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both"/>
            </w:pPr>
            <w:r>
              <w:t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 менее 100 работников;</w:t>
            </w:r>
          </w:p>
          <w:p w:rsidR="00597E30" w:rsidRDefault="009538BD">
            <w:pPr>
              <w:pStyle w:val="ConsPlusNormal0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</w:t>
            </w:r>
            <w:r>
              <w:lastRenderedPageBreak/>
              <w:t>законодательством Российской Федерации;</w:t>
            </w:r>
          </w:p>
          <w:p w:rsidR="00597E30" w:rsidRDefault="009538BD">
            <w:pPr>
              <w:pStyle w:val="ConsPlusNormal0"/>
              <w:jc w:val="both"/>
            </w:pPr>
            <w:r>
              <w:t>4) организация не участвует в региональной программе повышения мобильности трудовых ресурсов, софинансируемой за счет средств федерального бюджета, и не является получателем иных мер поддержки за счет ассигнований из федерального бюджета;</w:t>
            </w:r>
          </w:p>
          <w:p w:rsidR="00597E30" w:rsidRDefault="009538BD">
            <w:pPr>
              <w:pStyle w:val="ConsPlusNormal0"/>
              <w:jc w:val="both"/>
            </w:pPr>
            <w: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t>Профессии, на которые трудоустраивают граждан, соответствуют следующим критериям:</w:t>
            </w:r>
          </w:p>
          <w:p w:rsidR="00597E30" w:rsidRDefault="009538BD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597E30" w:rsidRDefault="009538BD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597E30" w:rsidRDefault="009538BD">
            <w:pPr>
              <w:pStyle w:val="ConsPlusNormal0"/>
              <w:jc w:val="both"/>
            </w:pPr>
            <w: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597E30" w:rsidRDefault="009538BD">
            <w:pPr>
              <w:pStyle w:val="ConsPlusNormal0"/>
              <w:jc w:val="both"/>
            </w:pPr>
            <w: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Трудоустроенные граждане не привлечены из других </w:t>
            </w:r>
            <w:r>
              <w:lastRenderedPageBreak/>
              <w:t>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</w:pPr>
            <w:r>
              <w:lastRenderedPageBreak/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</w:t>
            </w:r>
          </w:p>
          <w:p w:rsidR="00597E30" w:rsidRDefault="009538BD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</w:t>
            </w:r>
          </w:p>
          <w:p w:rsidR="00597E30" w:rsidRDefault="009538BD">
            <w:pPr>
              <w:pStyle w:val="ConsPlusNormal0"/>
            </w:pPr>
            <w:r>
              <w:t>Заявление</w:t>
            </w:r>
          </w:p>
        </w:tc>
      </w:tr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both"/>
            </w:pPr>
            <w:r>
              <w:t>Организатор отбора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E30" w:rsidRDefault="009538BD">
            <w:pPr>
              <w:pStyle w:val="ConsPlusNormal0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3. Результат предоставления субсидии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Перечень результатов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sectPr w:rsidR="00597E30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4022"/>
        <w:gridCol w:w="1133"/>
        <w:gridCol w:w="742"/>
        <w:gridCol w:w="850"/>
        <w:gridCol w:w="1125"/>
        <w:gridCol w:w="1335"/>
        <w:gridCol w:w="1490"/>
      </w:tblGrid>
      <w:tr w:rsidR="00597E30">
        <w:tc>
          <w:tcPr>
            <w:tcW w:w="1500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1363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4022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75" w:type="dxa"/>
            <w:gridSpan w:val="2"/>
          </w:tcPr>
          <w:p w:rsidR="00597E30" w:rsidRDefault="009538BD">
            <w:pPr>
              <w:pStyle w:val="ConsPlusNormal0"/>
              <w:jc w:val="center"/>
            </w:pPr>
            <w:r>
              <w:t xml:space="preserve">Единица измерения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50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125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2825" w:type="dxa"/>
            <w:gridSpan w:val="2"/>
          </w:tcPr>
          <w:p w:rsidR="00597E30" w:rsidRDefault="009538BD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597E30">
        <w:tc>
          <w:tcPr>
            <w:tcW w:w="1500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363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4022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133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42" w:type="dxa"/>
          </w:tcPr>
          <w:p w:rsidR="00597E30" w:rsidRDefault="009538BD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125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335" w:type="dxa"/>
          </w:tcPr>
          <w:p w:rsidR="00597E30" w:rsidRDefault="009538BD">
            <w:pPr>
              <w:pStyle w:val="ConsPlusNormal0"/>
              <w:jc w:val="center"/>
            </w:pPr>
            <w:r>
              <w:t>Срок (дд.мм.гггг)</w:t>
            </w:r>
          </w:p>
        </w:tc>
        <w:tc>
          <w:tcPr>
            <w:tcW w:w="1490" w:type="dxa"/>
          </w:tcPr>
          <w:p w:rsidR="00597E30" w:rsidRDefault="009538BD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597E30">
        <w:tc>
          <w:tcPr>
            <w:tcW w:w="13560" w:type="dxa"/>
            <w:gridSpan w:val="9"/>
          </w:tcPr>
          <w:p w:rsidR="00597E30" w:rsidRDefault="009538BD">
            <w:pPr>
              <w:pStyle w:val="ConsPlusNormal0"/>
              <w:ind w:firstLine="283"/>
              <w:jc w:val="both"/>
            </w:pPr>
            <w:r>
              <w:t>Целевая статья: 07 2 Л3 50590</w:t>
            </w:r>
          </w:p>
        </w:tc>
      </w:tr>
      <w:tr w:rsidR="00597E30">
        <w:tc>
          <w:tcPr>
            <w:tcW w:w="1500" w:type="dxa"/>
          </w:tcPr>
          <w:p w:rsidR="00597E30" w:rsidRDefault="009538BD">
            <w:pPr>
              <w:pStyle w:val="ConsPlusNormal0"/>
            </w:pPr>
            <w:r>
              <w:t>X211240000</w:t>
            </w:r>
          </w:p>
        </w:tc>
        <w:tc>
          <w:tcPr>
            <w:tcW w:w="1363" w:type="dxa"/>
          </w:tcPr>
          <w:p w:rsidR="00597E30" w:rsidRDefault="009538BD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4022" w:type="dxa"/>
          </w:tcPr>
          <w:p w:rsidR="00597E30" w:rsidRDefault="009538BD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133" w:type="dxa"/>
          </w:tcPr>
          <w:p w:rsidR="00597E30" w:rsidRDefault="009538BD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742" w:type="dxa"/>
          </w:tcPr>
          <w:p w:rsidR="00597E30" w:rsidRDefault="00090DDE">
            <w:pPr>
              <w:pStyle w:val="ConsPlusNormal0"/>
              <w:jc w:val="center"/>
            </w:pP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9538BD">
                <w:rPr>
                  <w:color w:val="0000FF"/>
                </w:rPr>
                <w:t>792</w:t>
              </w:r>
            </w:hyperlink>
          </w:p>
        </w:tc>
        <w:tc>
          <w:tcPr>
            <w:tcW w:w="850" w:type="dxa"/>
          </w:tcPr>
          <w:p w:rsidR="00597E30" w:rsidRDefault="009538B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25" w:type="dxa"/>
          </w:tcPr>
          <w:p w:rsidR="00597E30" w:rsidRDefault="009538B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35" w:type="dxa"/>
          </w:tcPr>
          <w:p w:rsidR="00597E30" w:rsidRDefault="009538B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90" w:type="dxa"/>
          </w:tcPr>
          <w:p w:rsidR="00597E30" w:rsidRDefault="009538BD">
            <w:pPr>
              <w:pStyle w:val="ConsPlusNormal0"/>
              <w:jc w:val="center"/>
            </w:pPr>
            <w:r>
              <w:t>1 298,0000</w:t>
            </w:r>
          </w:p>
        </w:tc>
      </w:tr>
    </w:tbl>
    <w:p w:rsidR="00597E30" w:rsidRDefault="00597E30">
      <w:pPr>
        <w:pStyle w:val="ConsPlusNormal0"/>
        <w:sectPr w:rsidR="00597E30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является: численность трудоустроенных граждан в 2026 году - 1079 человек, в 2027 году и последующий период 2028 - 2030 гг. - 1868 человек ежегодно.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4. Направления финансирования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597E30" w:rsidRDefault="00597E3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5"/>
        <w:gridCol w:w="2185"/>
        <w:gridCol w:w="2289"/>
      </w:tblGrid>
      <w:tr w:rsidR="00597E30">
        <w:tc>
          <w:tcPr>
            <w:tcW w:w="4565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185" w:type="dxa"/>
          </w:tcPr>
          <w:p w:rsidR="00597E30" w:rsidRDefault="009538BD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289" w:type="dxa"/>
          </w:tcPr>
          <w:p w:rsidR="00597E30" w:rsidRDefault="009538BD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597E30">
        <w:tc>
          <w:tcPr>
            <w:tcW w:w="4565" w:type="dxa"/>
            <w:tcBorders>
              <w:bottom w:val="nil"/>
            </w:tcBorders>
          </w:tcPr>
          <w:p w:rsidR="00597E30" w:rsidRDefault="009538BD">
            <w:pPr>
              <w:pStyle w:val="ConsPlusNormal0"/>
            </w:pPr>
            <w:r>
              <w:t>Затраты на:</w:t>
            </w:r>
          </w:p>
          <w:p w:rsidR="00597E30" w:rsidRDefault="009538BD">
            <w:pPr>
              <w:pStyle w:val="ConsPlusNormal0"/>
            </w:pPr>
            <w: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</w:tc>
        <w:tc>
          <w:tcPr>
            <w:tcW w:w="2185" w:type="dxa"/>
            <w:vMerge w:val="restart"/>
          </w:tcPr>
          <w:p w:rsidR="00597E30" w:rsidRDefault="009538BD">
            <w:pPr>
              <w:pStyle w:val="ConsPlusNormal0"/>
            </w:pPr>
            <w:r>
              <w:t>Заявление</w:t>
            </w:r>
          </w:p>
        </w:tc>
        <w:tc>
          <w:tcPr>
            <w:tcW w:w="2289" w:type="dxa"/>
            <w:vMerge w:val="restart"/>
          </w:tcPr>
          <w:p w:rsidR="00597E30" w:rsidRDefault="009538BD">
            <w:pPr>
              <w:pStyle w:val="ConsPlusNormal0"/>
            </w:pPr>
            <w:r>
              <w:t>По истечении 3-го, 6-го, 9-го и 12-го месяцев работы трудоустроенного гражданина</w:t>
            </w:r>
          </w:p>
        </w:tc>
      </w:tr>
      <w:tr w:rsidR="00597E30">
        <w:tblPrEx>
          <w:tblBorders>
            <w:insideH w:val="nil"/>
          </w:tblBorders>
        </w:tblPrEx>
        <w:tc>
          <w:tcPr>
            <w:tcW w:w="4565" w:type="dxa"/>
            <w:tcBorders>
              <w:top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185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2289" w:type="dxa"/>
            <w:vMerge/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5. Финансовое обеспечение и условия заключения соглашения о предоставлении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6"/>
        <w:gridCol w:w="5953"/>
      </w:tblGrid>
      <w:tr w:rsidR="00597E30">
        <w:tc>
          <w:tcPr>
            <w:tcW w:w="3086" w:type="dxa"/>
          </w:tcPr>
          <w:p w:rsidR="00597E30" w:rsidRDefault="009538BD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597E30">
        <w:tc>
          <w:tcPr>
            <w:tcW w:w="3086" w:type="dxa"/>
          </w:tcPr>
          <w:p w:rsidR="00597E30" w:rsidRDefault="009538BD">
            <w:pPr>
              <w:pStyle w:val="ConsPlusNormal0"/>
            </w:pPr>
            <w:r>
              <w:t>797 10 06 07 2 Л3 50590 631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597E30">
        <w:tc>
          <w:tcPr>
            <w:tcW w:w="3086" w:type="dxa"/>
          </w:tcPr>
          <w:p w:rsidR="00597E30" w:rsidRDefault="009538BD">
            <w:pPr>
              <w:pStyle w:val="ConsPlusNormal0"/>
            </w:pPr>
            <w:r>
              <w:t>797 10 06 07 2 Л3 50590 811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597E30" w:rsidRDefault="00597E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391"/>
      </w:tblGrid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7432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391"/>
      </w:tblGrid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Не требуется отчетности о предоставлении субсидии</w:t>
            </w:r>
          </w:p>
        </w:tc>
      </w:tr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7432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Предусматривается проведение мониторинга достижения результатов (занятость 100 процентов трудоустроенных граждан по истечении 3-го, и (или) 6-го, и (или) 9-го, и (или) 12-го месяцев работы от численности граждан, проработавших соответственно 3-й, и (или) 6-й, и (или) 9-й, и (или) 12-й месяцы с даты трудоустройства)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6. Порядок расчета размера предоставляемой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 соответствии с Федеральным </w:t>
      </w:r>
      <w:hyperlink r:id="rId34" w:tooltip="Федеральный закон от 30.11.2024 N 423-ФЗ &quot;О бюджете Фонда пенсионного и социального страхования Российской Федерации на 2025 год и на плановый период 2026 и 2027 годов&quot; {КонсультантПлюс}">
        <w:r>
          <w:rPr>
            <w:color w:val="0000FF"/>
          </w:rPr>
          <w:t>законом</w:t>
        </w:r>
      </w:hyperlink>
      <w:r>
        <w:t xml:space="preserve"> от 30 ноября 2024 г. N 423-ФЗ "О бюджете Фонда пенсионного и социального страхования Российской Федерации на 2025 год и на плановый период 2026 и 2027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>в 2025 году - 500 000,0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2027 году - 1 000 000,0 тыс. рублей.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МРОТ, установленный на 2025 г. - 22 440,0 руб., на 2026 г. - 27 008,0 руб., на 2027 г. - 31 189,0 руб.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Таким образом, объем средств федерального бюджета, необходимый для реализации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исходя из предполагаемого количества работников, составит: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2025 году: 1 298 чел. x 67 320 руб. x 1,3 x 1,1 x 4 = 499 821,4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2026 году: 1 079 чел. x 81 024,0 руб. x 1,3 x 1,1 x 4 = 500 070,4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2027 году: 1 868 чел. x 93 567,0 руб. x 1,3 x 1,1 x 4 = 999 760,3 тыс. рублей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228850" cy="2400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Дi - средства федерального бюджета, передаваемые бюджету Фонда на предоставление субсидии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Чi - численность трудоустроенных граждан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Ср.в.i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где: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743200" cy="2400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МРОТi - сумма минимального размера оплаты труда, установленная законодательством Российской Федерации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Рст.вз.i - размер страховых взносов во внебюджетные фонды (1,3);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Rк - средний районный коэффициент по Российской Федерации устанавливается на уровне </w:t>
      </w:r>
      <w:r>
        <w:lastRenderedPageBreak/>
        <w:t>1,1;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Кмрот.i - количество выплат на одного трудоустроенного в год (4 выплаты).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отчетом и планируемых периодах, при расчете Чi, К мрот.i и Ср.в.i.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7. Порядок расчета объема средств, подлежащих возврату в бюджет Фонда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случае если работодателем по истечении 3-го, 6-го, 9-го и 12-го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(Vвозврата), рассчитывается по формуле: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Vвозврата = Vсуб x k,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Vсуб - размер субсидии, предоставленной работодателю;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822960" cy="4686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средства субсидии в объеме выявленных нарушений подлежат возврату уполномоченным банком в доход бюджета Фонда.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8. Условия и порядок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 xml:space="preserve">8.1. Граждане, трудоустроенные по программе "Мобильность 2.0", должны относиться к категории лиц, с которыми в соответствии с Трудовым </w:t>
      </w:r>
      <w:hyperlink r:id="rId38" w:tooltip="&quot;Трудовой кодекс Российской Федерации&quot; от 30.12.2001 N 197-ФЗ (ред. от 07.04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возможно заключение трудового договора.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1" w:name="P279"/>
      <w:bookmarkEnd w:id="1"/>
      <w:r>
        <w:t>8.3. Для получения субсидии работодатель включается в реестр при соблюдении следующих условий: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направление Заявления;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включение работодателя в перечень организаций;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39" w:tooltip="Федеральный закон от 19.06.2000 N 82-ФЗ (ред. от 29.10.2024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</w:t>
      </w:r>
      <w:r>
        <w:lastRenderedPageBreak/>
        <w:t>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79" w:tooltip="8.3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пункте 8.3</w:t>
        </w:r>
      </w:hyperlink>
      <w:r>
        <w:t xml:space="preserve"> настоящего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2" w:name="P292"/>
      <w:bookmarkEnd w:id="2"/>
      <w: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Выплата работодателю на одного трудоустроенного гражданина составляет 3 минимальных размера оплаты труда, установленного Федеральным </w:t>
      </w:r>
      <w:hyperlink r:id="rId40" w:tooltip="Федеральный закон от 19.06.2000 N 82-ФЗ (ред. от 29.10.2024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8.7. Предоставление субсидии осуществляется Фондом: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по истечении 3-го месяца работы трудоустроенного гражданина;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по истечении 6-го месяца работы трудоустроенного гражданина;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по истечении 9-го месяца работы трудоустроенного гражданина;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г) по истечении 12-го месяца работы трудоустроенного гражданина.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3" w:name="P301"/>
      <w:bookmarkEnd w:id="3"/>
      <w:r>
        <w:t xml:space="preserve"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</w:t>
      </w:r>
      <w:r>
        <w:lastRenderedPageBreak/>
        <w:t>работодателя,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4" w:name="P302"/>
      <w:bookmarkEnd w:id="4"/>
      <w:r>
        <w:t>8.11. Заявление формируется с указанием: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код причины постановки на учет;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регистрационный номер страхователя;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рождения;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профессия (должность, специальность).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</w:t>
      </w:r>
      <w:r>
        <w:lastRenderedPageBreak/>
        <w:t>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8.12. Формат представления Заявления определяется Фондом.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5" w:name="P323"/>
      <w:bookmarkEnd w:id="5"/>
      <w:r>
        <w:t>8.13. Фонд (в том числе с использованием каналов межведомственного взаимодействия) осуществляет: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292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пункте 8.6</w:t>
        </w:r>
      </w:hyperlink>
      <w:r>
        <w:t xml:space="preserve"> настоящего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8.15. Фонд в случае отрицательного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8.16. Фонд в случае положительного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производит расчет размера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6" w:name="P331"/>
      <w:bookmarkEnd w:id="6"/>
      <w: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1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>
          <w:rPr>
            <w:color w:val="0000FF"/>
          </w:rPr>
          <w:t>пунктами 8.10</w:t>
        </w:r>
      </w:hyperlink>
      <w:r>
        <w:t xml:space="preserve">, </w:t>
      </w:r>
      <w:hyperlink w:anchor="P302" w:tooltip="8.11. Заявление формируется с указанием:">
        <w:r>
          <w:rPr>
            <w:color w:val="0000FF"/>
          </w:rPr>
          <w:t>8.11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 xml:space="preserve">8.19. В случае отрицательного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дает согласие: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92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пунктом 8.6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9. Иные условия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Органы службы занятости в рамках полномочий, предусмотренных Федеральным </w:t>
      </w:r>
      <w:hyperlink r:id="rId4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Решением.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42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{К">
        <w:r>
          <w:rPr>
            <w:color w:val="0000FF"/>
          </w:rPr>
          <w:t>пунктов 20</w:t>
        </w:r>
      </w:hyperlink>
      <w:r>
        <w:t xml:space="preserve"> и </w:t>
      </w:r>
      <w:hyperlink r:id="rId43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{К">
        <w:r>
          <w:rPr>
            <w:color w:val="0000FF"/>
          </w:rPr>
          <w:t>21</w:t>
        </w:r>
      </w:hyperlink>
      <w:r>
        <w:t xml:space="preserve">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федеральной государственной информационной системы "Единая интегрированная информационная система "Соцстрах" Фонда в течение 3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7" w:name="_GoBack"/>
      <w:bookmarkEnd w:id="7"/>
    </w:p>
    <w:sectPr w:rsidR="00597E30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DE" w:rsidRDefault="00090DDE">
      <w:r>
        <w:separator/>
      </w:r>
    </w:p>
  </w:endnote>
  <w:endnote w:type="continuationSeparator" w:id="0">
    <w:p w:rsidR="00090DDE" w:rsidRDefault="0009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97E30">
      <w:trPr>
        <w:trHeight w:hRule="exact" w:val="1170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97E30">
      <w:trPr>
        <w:trHeight w:hRule="exact" w:val="1170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090DDE">
          <w:pPr>
            <w:pStyle w:val="ConsPlusNormal0"/>
            <w:jc w:val="center"/>
          </w:pPr>
          <w:hyperlink r:id="rId1">
            <w:r w:rsidR="009538B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2CD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DE" w:rsidRDefault="00090DDE">
      <w:r>
        <w:separator/>
      </w:r>
    </w:p>
  </w:footnote>
  <w:footnote w:type="continuationSeparator" w:id="0">
    <w:p w:rsidR="00090DDE" w:rsidRDefault="0009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97E30">
      <w:trPr>
        <w:trHeight w:hRule="exact" w:val="1190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597E30">
      <w:trPr>
        <w:trHeight w:hRule="exact" w:val="1190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30"/>
    <w:rsid w:val="00090DDE"/>
    <w:rsid w:val="00597E30"/>
    <w:rsid w:val="00802CDE"/>
    <w:rsid w:val="009538BD"/>
    <w:rsid w:val="00F7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CF86-6D36-4FBB-A085-3260BC06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130&amp;date=12.08.2025" TargetMode="External"/><Relationship Id="rId18" Type="http://schemas.openxmlformats.org/officeDocument/2006/relationships/hyperlink" Target="https://login.consultant.ru/link/?req=doc&amp;base=LAW&amp;n=510130&amp;date=12.08.2025" TargetMode="External"/><Relationship Id="rId26" Type="http://schemas.openxmlformats.org/officeDocument/2006/relationships/hyperlink" Target="https://login.consultant.ru/link/?req=doc&amp;base=LAW&amp;n=495935&amp;date=12.08.2025" TargetMode="External"/><Relationship Id="rId39" Type="http://schemas.openxmlformats.org/officeDocument/2006/relationships/hyperlink" Target="https://login.consultant.ru/link/?req=doc&amp;base=LAW&amp;n=489330&amp;date=12.08.2025&amp;dst=23&amp;field=134" TargetMode="External"/><Relationship Id="rId21" Type="http://schemas.openxmlformats.org/officeDocument/2006/relationships/hyperlink" Target="https://login.consultant.ru/link/?req=doc&amp;base=LAW&amp;n=489743&amp;date=12.08.2025" TargetMode="External"/><Relationship Id="rId34" Type="http://schemas.openxmlformats.org/officeDocument/2006/relationships/hyperlink" Target="https://login.consultant.ru/link/?req=doc&amp;base=LAW&amp;n=491946&amp;date=12.08.2025" TargetMode="External"/><Relationship Id="rId42" Type="http://schemas.openxmlformats.org/officeDocument/2006/relationships/hyperlink" Target="https://login.consultant.ru/link/?req=doc&amp;base=LAW&amp;n=479729&amp;date=12.08.2025&amp;dst=100042&amp;field=134" TargetMode="External"/><Relationship Id="rId47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4334&amp;date=12.08.2025&amp;dst=100032&amp;field=134" TargetMode="External"/><Relationship Id="rId29" Type="http://schemas.openxmlformats.org/officeDocument/2006/relationships/footer" Target="footer3.xml"/><Relationship Id="rId11" Type="http://schemas.openxmlformats.org/officeDocument/2006/relationships/hyperlink" Target="https://login.consultant.ru/link/?req=doc&amp;base=LAW&amp;n=501797&amp;date=12.08.2025&amp;dst=100052&amp;field=134" TargetMode="External"/><Relationship Id="rId24" Type="http://schemas.openxmlformats.org/officeDocument/2006/relationships/header" Target="header2.xml"/><Relationship Id="rId32" Type="http://schemas.openxmlformats.org/officeDocument/2006/relationships/image" Target="media/image2.wmf"/><Relationship Id="rId37" Type="http://schemas.openxmlformats.org/officeDocument/2006/relationships/image" Target="media/image6.wmf"/><Relationship Id="rId40" Type="http://schemas.openxmlformats.org/officeDocument/2006/relationships/hyperlink" Target="https://login.consultant.ru/link/?req=doc&amp;base=LAW&amp;n=489330&amp;date=12.08.2025&amp;dst=23&amp;field=134" TargetMode="External"/><Relationship Id="rId45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131&amp;date=12.08.2025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36" Type="http://schemas.openxmlformats.org/officeDocument/2006/relationships/image" Target="media/image5.wmf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4334&amp;date=12.08.2025&amp;dst=100341&amp;field=134" TargetMode="External"/><Relationship Id="rId19" Type="http://schemas.openxmlformats.org/officeDocument/2006/relationships/hyperlink" Target="https://login.consultant.ru/link/?req=doc&amp;base=LAW&amp;n=420230&amp;date=12.08.2025&amp;dst=100010&amp;field=134" TargetMode="External"/><Relationship Id="rId31" Type="http://schemas.openxmlformats.org/officeDocument/2006/relationships/footer" Target="footer4.xml"/><Relationship Id="rId44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797&amp;date=12.08.2025&amp;dst=100052&amp;field=134" TargetMode="External"/><Relationship Id="rId14" Type="http://schemas.openxmlformats.org/officeDocument/2006/relationships/hyperlink" Target="https://login.consultant.ru/link/?req=doc&amp;base=LAW&amp;n=491236&amp;date=12.08.2025&amp;dst=25980&amp;field=134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495935&amp;date=12.08.2025&amp;dst=102208&amp;field=134" TargetMode="External"/><Relationship Id="rId30" Type="http://schemas.openxmlformats.org/officeDocument/2006/relationships/header" Target="header4.xml"/><Relationship Id="rId35" Type="http://schemas.openxmlformats.org/officeDocument/2006/relationships/image" Target="media/image4.wmf"/><Relationship Id="rId43" Type="http://schemas.openxmlformats.org/officeDocument/2006/relationships/hyperlink" Target="https://login.consultant.ru/link/?req=doc&amp;base=LAW&amp;n=479729&amp;date=12.08.2025&amp;dst=100043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9911&amp;date=12.08.2025" TargetMode="External"/><Relationship Id="rId17" Type="http://schemas.openxmlformats.org/officeDocument/2006/relationships/hyperlink" Target="https://login.consultant.ru/link/?req=doc&amp;base=LAW&amp;n=510131&amp;date=12.08.2025" TargetMode="External"/><Relationship Id="rId25" Type="http://schemas.openxmlformats.org/officeDocument/2006/relationships/footer" Target="footer2.xml"/><Relationship Id="rId33" Type="http://schemas.openxmlformats.org/officeDocument/2006/relationships/image" Target="media/image3.wmf"/><Relationship Id="rId38" Type="http://schemas.openxmlformats.org/officeDocument/2006/relationships/hyperlink" Target="https://login.consultant.ru/link/?req=doc&amp;base=LAW&amp;n=502632&amp;date=12.08.2025" TargetMode="External"/><Relationship Id="rId46" Type="http://schemas.openxmlformats.org/officeDocument/2006/relationships/header" Target="header6.xml"/><Relationship Id="rId20" Type="http://schemas.openxmlformats.org/officeDocument/2006/relationships/hyperlink" Target="https://login.consultant.ru/link/?req=doc&amp;base=LAW&amp;n=503623&amp;date=12.08.2025&amp;dst=100008&amp;field=134" TargetMode="External"/><Relationship Id="rId41" Type="http://schemas.openxmlformats.org/officeDocument/2006/relationships/hyperlink" Target="https://login.consultant.ru/link/?req=doc&amp;base=LAW&amp;n=482895&amp;date=12.08.2025&amp;dst=10062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7108</Words>
  <Characters>40519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29.12.2024 N 2713
(ред. от 13.03.2025)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vt:lpstr>
    </vt:vector>
  </TitlesOfParts>
  <Company>КонсультантПлюс Версия 4024.00.50</Company>
  <LinksUpToDate>false</LinksUpToDate>
  <CharactersWithSpaces>47532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2713
(ред. от 13.03.2025)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dc:title>
  <dc:creator>Максудова Зиля Файзуллова</dc:creator>
  <cp:lastModifiedBy>Валентина Ибатуллина</cp:lastModifiedBy>
  <cp:revision>2</cp:revision>
  <dcterms:created xsi:type="dcterms:W3CDTF">2025-09-23T14:01:00Z</dcterms:created>
  <dcterms:modified xsi:type="dcterms:W3CDTF">2025-09-23T14:01:00Z</dcterms:modified>
</cp:coreProperties>
</file>